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C449B6" w14:textId="77777777" w:rsidR="00047D63" w:rsidRPr="00595047" w:rsidRDefault="00047D63" w:rsidP="00047D63">
      <w:pPr>
        <w:bidi/>
        <w:rPr>
          <w:b/>
          <w:bCs/>
        </w:rPr>
      </w:pPr>
      <w:r w:rsidRPr="00595047">
        <w:rPr>
          <w:b/>
          <w:bCs/>
          <w:rtl/>
          <w:lang w:eastAsia="ar"/>
        </w:rPr>
        <w:t xml:space="preserve">الأنظمة الميكانيكية </w:t>
      </w:r>
    </w:p>
    <w:p w14:paraId="524CA721" w14:textId="77777777" w:rsidR="00047D63" w:rsidRPr="00C423D5" w:rsidRDefault="00047D63" w:rsidP="00047D63">
      <w:pPr>
        <w:bidi/>
        <w:ind w:left="720"/>
      </w:pPr>
    </w:p>
    <w:tbl>
      <w:tblPr>
        <w:bidiVisual/>
        <w:tblW w:w="10260"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0"/>
        <w:gridCol w:w="4072"/>
        <w:gridCol w:w="1980"/>
        <w:gridCol w:w="1694"/>
        <w:gridCol w:w="508"/>
        <w:gridCol w:w="26"/>
        <w:gridCol w:w="482"/>
        <w:gridCol w:w="508"/>
      </w:tblGrid>
      <w:tr w:rsidR="00047D63" w:rsidRPr="00C423D5" w14:paraId="789DF36A" w14:textId="77777777" w:rsidTr="00C14BAD">
        <w:trPr>
          <w:trHeight w:val="105"/>
          <w:tblHeader/>
        </w:trPr>
        <w:tc>
          <w:tcPr>
            <w:tcW w:w="7042" w:type="dxa"/>
            <w:gridSpan w:val="3"/>
            <w:tcBorders>
              <w:top w:val="single" w:sz="4" w:space="0" w:color="auto"/>
              <w:left w:val="single" w:sz="4" w:space="0" w:color="auto"/>
              <w:bottom w:val="single" w:sz="4" w:space="0" w:color="auto"/>
            </w:tcBorders>
            <w:shd w:val="clear" w:color="auto" w:fill="auto"/>
            <w:noWrap/>
            <w:vAlign w:val="center"/>
          </w:tcPr>
          <w:p w14:paraId="61B478EC" w14:textId="1FDF2692" w:rsidR="00047D63" w:rsidRPr="00595047" w:rsidRDefault="00047D63" w:rsidP="00C14BAD">
            <w:pPr>
              <w:tabs>
                <w:tab w:val="left" w:pos="1536"/>
              </w:tabs>
              <w:bidi/>
              <w:rPr>
                <w:rFonts w:cs="Arial"/>
                <w:b/>
                <w:color w:val="000000"/>
                <w:sz w:val="18"/>
                <w:szCs w:val="18"/>
              </w:rPr>
            </w:pPr>
            <w:r w:rsidRPr="009B5826">
              <w:rPr>
                <w:rFonts w:cs="Arial"/>
                <w:b/>
                <w:bCs/>
                <w:sz w:val="18"/>
                <w:szCs w:val="18"/>
                <w:rtl/>
                <w:lang w:eastAsia="ar"/>
              </w:rPr>
              <w:t>اسم المرفق:</w:t>
            </w:r>
          </w:p>
        </w:tc>
        <w:tc>
          <w:tcPr>
            <w:tcW w:w="2228" w:type="dxa"/>
            <w:gridSpan w:val="3"/>
            <w:tcBorders>
              <w:top w:val="single" w:sz="4" w:space="0" w:color="auto"/>
              <w:bottom w:val="single" w:sz="4" w:space="0" w:color="auto"/>
            </w:tcBorders>
            <w:shd w:val="clear" w:color="auto" w:fill="auto"/>
            <w:vAlign w:val="center"/>
          </w:tcPr>
          <w:p w14:paraId="638FF111"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241FF244"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 xml:space="preserve">النسخة - 000 </w:t>
            </w:r>
          </w:p>
        </w:tc>
      </w:tr>
      <w:tr w:rsidR="00047D63" w:rsidRPr="00C423D5" w14:paraId="1066AC8A" w14:textId="77777777" w:rsidTr="00C14BAD">
        <w:trPr>
          <w:trHeight w:val="307"/>
        </w:trPr>
        <w:tc>
          <w:tcPr>
            <w:tcW w:w="99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5E902C1B" w14:textId="77777777" w:rsidR="00047D63" w:rsidRPr="00595047" w:rsidRDefault="00047D63" w:rsidP="00C14BAD">
            <w:pPr>
              <w:bidi/>
              <w:jc w:val="center"/>
              <w:rPr>
                <w:b/>
              </w:rPr>
            </w:pPr>
            <w:r w:rsidRPr="00595047">
              <w:rPr>
                <w:b/>
                <w:bCs/>
                <w:rtl/>
                <w:lang w:eastAsia="ar"/>
              </w:rPr>
              <w:t>الرقم</w:t>
            </w:r>
          </w:p>
        </w:tc>
        <w:tc>
          <w:tcPr>
            <w:tcW w:w="7746" w:type="dxa"/>
            <w:gridSpan w:val="3"/>
            <w:vMerge w:val="restart"/>
            <w:tcBorders>
              <w:top w:val="single" w:sz="4" w:space="0" w:color="auto"/>
              <w:bottom w:val="single" w:sz="4" w:space="0" w:color="auto"/>
            </w:tcBorders>
            <w:shd w:val="clear" w:color="auto" w:fill="C6D9F1" w:themeFill="text2" w:themeFillTint="33"/>
            <w:vAlign w:val="center"/>
          </w:tcPr>
          <w:p w14:paraId="5BF8F8B9" w14:textId="77777777" w:rsidR="00047D63" w:rsidRPr="00595047" w:rsidRDefault="00047D63" w:rsidP="00C14BAD">
            <w:pPr>
              <w:bidi/>
              <w:jc w:val="center"/>
              <w:rPr>
                <w:b/>
                <w:color w:val="000000"/>
              </w:rPr>
            </w:pPr>
            <w:r w:rsidRPr="00595047">
              <w:rPr>
                <w:b/>
                <w:bCs/>
                <w:rtl/>
                <w:lang w:eastAsia="ar"/>
              </w:rPr>
              <w:t>قائمة التدقيق الخاصة بفحص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AC724" w14:textId="2CA21437" w:rsidR="00047D63" w:rsidRPr="00C423D5" w:rsidRDefault="004D5ACD" w:rsidP="00C14BA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047D63" w:rsidRPr="00C423D5" w14:paraId="68D57A88" w14:textId="77777777" w:rsidTr="00C14BAD">
        <w:trPr>
          <w:trHeight w:val="201"/>
          <w:tblHeader/>
        </w:trPr>
        <w:tc>
          <w:tcPr>
            <w:tcW w:w="99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4DF5D25E" w14:textId="77777777" w:rsidR="00047D63" w:rsidRPr="00595047" w:rsidRDefault="00047D63" w:rsidP="00C14BAD">
            <w:pPr>
              <w:bidi/>
              <w:rPr>
                <w:rFonts w:cs="Arial"/>
                <w:b/>
                <w:bCs/>
                <w:color w:val="FFFFFF"/>
              </w:rPr>
            </w:pPr>
          </w:p>
        </w:tc>
        <w:tc>
          <w:tcPr>
            <w:tcW w:w="7746" w:type="dxa"/>
            <w:gridSpan w:val="3"/>
            <w:vMerge/>
            <w:tcBorders>
              <w:top w:val="single" w:sz="4" w:space="0" w:color="auto"/>
              <w:bottom w:val="single" w:sz="4" w:space="0" w:color="auto"/>
            </w:tcBorders>
            <w:shd w:val="clear" w:color="auto" w:fill="C6D9F1" w:themeFill="text2" w:themeFillTint="33"/>
            <w:vAlign w:val="center"/>
            <w:hideMark/>
          </w:tcPr>
          <w:p w14:paraId="6A944EBE" w14:textId="77777777" w:rsidR="00047D63" w:rsidRPr="00595047" w:rsidRDefault="00047D63" w:rsidP="00C14BA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69DACC2"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9F9713B"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79CDB5"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w:t>
            </w:r>
          </w:p>
        </w:tc>
      </w:tr>
      <w:tr w:rsidR="00047D63" w:rsidRPr="00C423D5" w14:paraId="3DBCA35F" w14:textId="77777777" w:rsidTr="00C14BAD">
        <w:trPr>
          <w:trHeight w:val="380"/>
        </w:trPr>
        <w:tc>
          <w:tcPr>
            <w:tcW w:w="990" w:type="dxa"/>
            <w:tcBorders>
              <w:top w:val="single" w:sz="4" w:space="0" w:color="auto"/>
              <w:left w:val="single" w:sz="4" w:space="0" w:color="auto"/>
              <w:bottom w:val="single" w:sz="4" w:space="0" w:color="auto"/>
            </w:tcBorders>
            <w:shd w:val="clear" w:color="auto" w:fill="auto"/>
            <w:noWrap/>
            <w:vAlign w:val="center"/>
          </w:tcPr>
          <w:p w14:paraId="60CAB541" w14:textId="77777777" w:rsidR="00047D63" w:rsidRPr="00595047" w:rsidRDefault="00047D63" w:rsidP="00C14BAD">
            <w:pPr>
              <w:bidi/>
            </w:pPr>
          </w:p>
        </w:tc>
        <w:tc>
          <w:tcPr>
            <w:tcW w:w="7746" w:type="dxa"/>
            <w:gridSpan w:val="3"/>
            <w:tcBorders>
              <w:top w:val="single" w:sz="4" w:space="0" w:color="auto"/>
              <w:bottom w:val="single" w:sz="4" w:space="0" w:color="auto"/>
            </w:tcBorders>
            <w:shd w:val="clear" w:color="auto" w:fill="auto"/>
            <w:vAlign w:val="center"/>
          </w:tcPr>
          <w:p w14:paraId="5B98767F" w14:textId="77777777" w:rsidR="00047D63" w:rsidRPr="00595047" w:rsidRDefault="00047D63" w:rsidP="00C14BAD">
            <w:pPr>
              <w:bidi/>
              <w:jc w:val="left"/>
              <w:rPr>
                <w:b/>
                <w:bCs/>
              </w:rPr>
            </w:pPr>
            <w:r w:rsidRPr="00595047">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0306D7F5"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897821C"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67372E" w14:textId="77777777" w:rsidR="00047D63" w:rsidRPr="00C423D5" w:rsidRDefault="00047D63" w:rsidP="00C14BAD">
            <w:pPr>
              <w:bidi/>
              <w:ind w:left="-102" w:right="-73"/>
              <w:jc w:val="center"/>
              <w:rPr>
                <w:rFonts w:cs="Arial"/>
                <w:color w:val="000000"/>
              </w:rPr>
            </w:pPr>
          </w:p>
        </w:tc>
      </w:tr>
      <w:tr w:rsidR="00047D63" w:rsidRPr="00C423D5" w14:paraId="7C468971"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hideMark/>
          </w:tcPr>
          <w:p w14:paraId="08D44E2E" w14:textId="77777777" w:rsidR="00047D63" w:rsidRPr="00C423D5" w:rsidRDefault="00047D63" w:rsidP="00C14BAD">
            <w:pPr>
              <w:bidi/>
              <w:spacing w:before="40" w:after="40"/>
              <w:jc w:val="left"/>
              <w:rPr>
                <w:rFonts w:cs="Arial"/>
                <w:sz w:val="18"/>
                <w:szCs w:val="18"/>
              </w:rPr>
            </w:pPr>
          </w:p>
        </w:tc>
        <w:tc>
          <w:tcPr>
            <w:tcW w:w="7746" w:type="dxa"/>
            <w:gridSpan w:val="3"/>
            <w:tcBorders>
              <w:top w:val="single" w:sz="4" w:space="0" w:color="auto"/>
              <w:bottom w:val="single" w:sz="4" w:space="0" w:color="auto"/>
            </w:tcBorders>
            <w:shd w:val="clear" w:color="auto" w:fill="auto"/>
            <w:vAlign w:val="center"/>
          </w:tcPr>
          <w:p w14:paraId="53C7E5F2" w14:textId="3BA40755" w:rsidR="00047D63" w:rsidRPr="00CA0A97" w:rsidRDefault="00047D63" w:rsidP="00793D69">
            <w:pPr>
              <w:bidi/>
              <w:spacing w:before="40" w:after="40"/>
              <w:rPr>
                <w:rFonts w:cs="Arial"/>
                <w:sz w:val="18"/>
                <w:szCs w:val="24"/>
                <w:lang w:val="x-none"/>
              </w:rPr>
            </w:pPr>
            <w:r w:rsidRPr="00CA0A97">
              <w:rPr>
                <w:rFonts w:cs="Arial"/>
                <w:sz w:val="18"/>
                <w:szCs w:val="18"/>
                <w:rtl/>
                <w:lang w:eastAsia="ar"/>
              </w:rPr>
              <w:t xml:space="preserve">تهدف إجراءات الطوارئ إلى تسليط الضوء على أبرز المشاكل التي قد تنشأ على مستوى الإدارة في حال تعطل الأنظمة الميكانيكية. ومن المقدّر أنّ هذه الأعطال قد تكون ناجمةً عن تعطل نظام الموقع بالكامل، لكنها قد تكون ناجمةً أيضًا عن عطلٍ محلي والذي قد يتطلب من الجهة العامة تقديم إشعار بشأنه. ويتمثل الهدف الرئيسي من هذه الإجراءات في تقديم نهج منظَّم للحفاظ على سلامة </w:t>
            </w:r>
            <w:r w:rsidR="00656071">
              <w:rPr>
                <w:rFonts w:cs="Arial" w:hint="cs"/>
                <w:sz w:val="18"/>
                <w:szCs w:val="18"/>
                <w:rtl/>
                <w:lang w:eastAsia="ar"/>
              </w:rPr>
              <w:t>ال</w:t>
            </w:r>
            <w:r w:rsidR="00793D69">
              <w:rPr>
                <w:rFonts w:cs="Arial" w:hint="cs"/>
                <w:sz w:val="18"/>
                <w:szCs w:val="18"/>
                <w:rtl/>
                <w:lang w:eastAsia="ar"/>
              </w:rPr>
              <w:t xml:space="preserve">زوار </w:t>
            </w:r>
            <w:r w:rsidR="00656071">
              <w:rPr>
                <w:rFonts w:cs="Arial" w:hint="cs"/>
                <w:sz w:val="18"/>
                <w:szCs w:val="18"/>
                <w:rtl/>
                <w:lang w:eastAsia="ar"/>
              </w:rPr>
              <w:t>و</w:t>
            </w:r>
            <w:r w:rsidRPr="00CA0A97">
              <w:rPr>
                <w:rFonts w:cs="Arial"/>
                <w:sz w:val="18"/>
                <w:szCs w:val="18"/>
                <w:rtl/>
                <w:lang w:eastAsia="ar"/>
              </w:rPr>
              <w:t>الموظفين ولتقليل المخاطر المرتبطة بالأعطال التي تصيب الأنظمة الميكانيكية.</w:t>
            </w:r>
          </w:p>
        </w:tc>
        <w:tc>
          <w:tcPr>
            <w:tcW w:w="508" w:type="dxa"/>
            <w:tcBorders>
              <w:top w:val="single" w:sz="4" w:space="0" w:color="auto"/>
              <w:bottom w:val="single" w:sz="4" w:space="0" w:color="auto"/>
            </w:tcBorders>
            <w:shd w:val="clear" w:color="auto" w:fill="C6D9F1" w:themeFill="text2" w:themeFillTint="33"/>
            <w:vAlign w:val="center"/>
          </w:tcPr>
          <w:p w14:paraId="36CD4756"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C368096"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FEC3C" w14:textId="77777777" w:rsidR="00047D63" w:rsidRPr="00C423D5" w:rsidRDefault="00047D63" w:rsidP="00C14BAD">
            <w:pPr>
              <w:bidi/>
              <w:ind w:left="-102" w:right="-73"/>
              <w:jc w:val="center"/>
              <w:rPr>
                <w:rFonts w:cs="Arial"/>
                <w:color w:val="000000"/>
              </w:rPr>
            </w:pPr>
          </w:p>
        </w:tc>
      </w:tr>
      <w:tr w:rsidR="00047D63" w:rsidRPr="00C423D5" w14:paraId="68995CC4"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3913B77A"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الأولى</w:t>
            </w:r>
          </w:p>
        </w:tc>
        <w:tc>
          <w:tcPr>
            <w:tcW w:w="7746" w:type="dxa"/>
            <w:gridSpan w:val="3"/>
            <w:tcBorders>
              <w:top w:val="single" w:sz="4" w:space="0" w:color="auto"/>
              <w:bottom w:val="single" w:sz="4" w:space="0" w:color="auto"/>
            </w:tcBorders>
            <w:shd w:val="clear" w:color="auto" w:fill="auto"/>
            <w:vAlign w:val="center"/>
          </w:tcPr>
          <w:p w14:paraId="44728DE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سلامة الأرواح (خطة الإخلاء)</w:t>
            </w:r>
          </w:p>
        </w:tc>
        <w:tc>
          <w:tcPr>
            <w:tcW w:w="508" w:type="dxa"/>
            <w:tcBorders>
              <w:top w:val="single" w:sz="4" w:space="0" w:color="auto"/>
              <w:bottom w:val="single" w:sz="4" w:space="0" w:color="auto"/>
            </w:tcBorders>
            <w:shd w:val="clear" w:color="auto" w:fill="C6D9F1" w:themeFill="text2" w:themeFillTint="33"/>
            <w:vAlign w:val="center"/>
          </w:tcPr>
          <w:p w14:paraId="79B999F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053D55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2D6C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68506B5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E88A8F0"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الثانية</w:t>
            </w:r>
          </w:p>
        </w:tc>
        <w:tc>
          <w:tcPr>
            <w:tcW w:w="7746" w:type="dxa"/>
            <w:gridSpan w:val="3"/>
            <w:tcBorders>
              <w:top w:val="single" w:sz="4" w:space="0" w:color="auto"/>
              <w:bottom w:val="single" w:sz="4" w:space="0" w:color="auto"/>
            </w:tcBorders>
            <w:shd w:val="clear" w:color="auto" w:fill="auto"/>
            <w:vAlign w:val="center"/>
          </w:tcPr>
          <w:p w14:paraId="3BC5E1F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تحقيق حالة من الاستقرار للحدث </w:t>
            </w:r>
          </w:p>
        </w:tc>
        <w:tc>
          <w:tcPr>
            <w:tcW w:w="508" w:type="dxa"/>
            <w:tcBorders>
              <w:top w:val="single" w:sz="4" w:space="0" w:color="auto"/>
              <w:bottom w:val="single" w:sz="4" w:space="0" w:color="auto"/>
            </w:tcBorders>
            <w:shd w:val="clear" w:color="auto" w:fill="C6D9F1" w:themeFill="text2" w:themeFillTint="33"/>
            <w:vAlign w:val="center"/>
          </w:tcPr>
          <w:p w14:paraId="3179C3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5A57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D638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43D1537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0321E59"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الثالثة</w:t>
            </w:r>
          </w:p>
        </w:tc>
        <w:tc>
          <w:tcPr>
            <w:tcW w:w="7746" w:type="dxa"/>
            <w:gridSpan w:val="3"/>
            <w:tcBorders>
              <w:top w:val="single" w:sz="4" w:space="0" w:color="auto"/>
              <w:bottom w:val="single" w:sz="4" w:space="0" w:color="auto"/>
            </w:tcBorders>
            <w:shd w:val="clear" w:color="auto" w:fill="auto"/>
            <w:vAlign w:val="center"/>
          </w:tcPr>
          <w:p w14:paraId="4DC33C4F"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التخفيف من الضرر المحتمل</w:t>
            </w:r>
          </w:p>
        </w:tc>
        <w:tc>
          <w:tcPr>
            <w:tcW w:w="508" w:type="dxa"/>
            <w:tcBorders>
              <w:top w:val="single" w:sz="4" w:space="0" w:color="auto"/>
              <w:bottom w:val="single" w:sz="4" w:space="0" w:color="auto"/>
            </w:tcBorders>
            <w:shd w:val="clear" w:color="auto" w:fill="C6D9F1" w:themeFill="text2" w:themeFillTint="33"/>
            <w:vAlign w:val="center"/>
          </w:tcPr>
          <w:p w14:paraId="55ED85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33FB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94E81AB"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7EEB1F0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07AD31E"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الرابعة</w:t>
            </w:r>
          </w:p>
        </w:tc>
        <w:tc>
          <w:tcPr>
            <w:tcW w:w="7746" w:type="dxa"/>
            <w:gridSpan w:val="3"/>
            <w:tcBorders>
              <w:top w:val="single" w:sz="4" w:space="0" w:color="auto"/>
              <w:bottom w:val="single" w:sz="4" w:space="0" w:color="auto"/>
            </w:tcBorders>
            <w:shd w:val="clear" w:color="auto" w:fill="auto"/>
            <w:vAlign w:val="center"/>
          </w:tcPr>
          <w:p w14:paraId="1302012A" w14:textId="0BF1AF73"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تطويق الحوادث (مثال: تسرب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4EF364E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71BD3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873D62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70DE08D7"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D117A34"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الخامسة</w:t>
            </w:r>
          </w:p>
        </w:tc>
        <w:tc>
          <w:tcPr>
            <w:tcW w:w="7746" w:type="dxa"/>
            <w:gridSpan w:val="3"/>
            <w:tcBorders>
              <w:top w:val="single" w:sz="4" w:space="0" w:color="auto"/>
              <w:bottom w:val="single" w:sz="4" w:space="0" w:color="auto"/>
            </w:tcBorders>
            <w:shd w:val="clear" w:color="auto" w:fill="auto"/>
            <w:vAlign w:val="center"/>
          </w:tcPr>
          <w:p w14:paraId="4289D4B6"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تقييم الضرر </w:t>
            </w:r>
          </w:p>
        </w:tc>
        <w:tc>
          <w:tcPr>
            <w:tcW w:w="508" w:type="dxa"/>
            <w:tcBorders>
              <w:top w:val="single" w:sz="4" w:space="0" w:color="auto"/>
              <w:bottom w:val="single" w:sz="4" w:space="0" w:color="auto"/>
            </w:tcBorders>
            <w:shd w:val="clear" w:color="auto" w:fill="C6D9F1" w:themeFill="text2" w:themeFillTint="33"/>
            <w:vAlign w:val="center"/>
          </w:tcPr>
          <w:p w14:paraId="3CB2305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F48A5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6BE93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436525BF"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1060C9B"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السادسة</w:t>
            </w:r>
          </w:p>
        </w:tc>
        <w:tc>
          <w:tcPr>
            <w:tcW w:w="7746" w:type="dxa"/>
            <w:gridSpan w:val="3"/>
            <w:tcBorders>
              <w:top w:val="single" w:sz="4" w:space="0" w:color="auto"/>
              <w:bottom w:val="single" w:sz="4" w:space="0" w:color="auto"/>
            </w:tcBorders>
            <w:shd w:val="clear" w:color="auto" w:fill="auto"/>
            <w:vAlign w:val="center"/>
          </w:tcPr>
          <w:p w14:paraId="301E4A63"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أعمال التنظيف بعد وقوع الحادث (خطط ما بعد الحوادث)</w:t>
            </w:r>
          </w:p>
        </w:tc>
        <w:tc>
          <w:tcPr>
            <w:tcW w:w="508" w:type="dxa"/>
            <w:tcBorders>
              <w:top w:val="single" w:sz="4" w:space="0" w:color="auto"/>
              <w:bottom w:val="single" w:sz="4" w:space="0" w:color="auto"/>
            </w:tcBorders>
            <w:shd w:val="clear" w:color="auto" w:fill="C6D9F1" w:themeFill="text2" w:themeFillTint="33"/>
            <w:vAlign w:val="center"/>
          </w:tcPr>
          <w:p w14:paraId="151874A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402F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77362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110C215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A65F757"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السابعة</w:t>
            </w:r>
          </w:p>
        </w:tc>
        <w:tc>
          <w:tcPr>
            <w:tcW w:w="7746" w:type="dxa"/>
            <w:gridSpan w:val="3"/>
            <w:shd w:val="clear" w:color="auto" w:fill="auto"/>
          </w:tcPr>
          <w:p w14:paraId="54CE8E1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متابعة مصادر الأحوال الجوية للحصول على المستجدات المتعلقة بالتعليمات والتحذيرات المذاعة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32EA94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20F2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F917A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7A36C31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9677152"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الثامنة</w:t>
            </w:r>
          </w:p>
        </w:tc>
        <w:tc>
          <w:tcPr>
            <w:tcW w:w="7746" w:type="dxa"/>
            <w:gridSpan w:val="3"/>
            <w:shd w:val="clear" w:color="auto" w:fill="auto"/>
          </w:tcPr>
          <w:p w14:paraId="30730AE7"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خطة إغلاق المبنى/خطة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4876134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CE545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86389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0E08D9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1E62976"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w:t>
            </w:r>
          </w:p>
        </w:tc>
        <w:tc>
          <w:tcPr>
            <w:tcW w:w="7746" w:type="dxa"/>
            <w:gridSpan w:val="3"/>
            <w:tcBorders>
              <w:top w:val="single" w:sz="4" w:space="0" w:color="auto"/>
              <w:bottom w:val="single" w:sz="4" w:space="0" w:color="auto"/>
            </w:tcBorders>
            <w:shd w:val="clear" w:color="auto" w:fill="auto"/>
            <w:vAlign w:val="center"/>
          </w:tcPr>
          <w:p w14:paraId="15D15608"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إجراء تقييم أولي ومستمر للحادث</w:t>
            </w:r>
          </w:p>
        </w:tc>
        <w:tc>
          <w:tcPr>
            <w:tcW w:w="508" w:type="dxa"/>
            <w:tcBorders>
              <w:top w:val="single" w:sz="4" w:space="0" w:color="auto"/>
              <w:bottom w:val="single" w:sz="4" w:space="0" w:color="auto"/>
            </w:tcBorders>
            <w:shd w:val="clear" w:color="auto" w:fill="C6D9F1" w:themeFill="text2" w:themeFillTint="33"/>
            <w:vAlign w:val="center"/>
          </w:tcPr>
          <w:p w14:paraId="1ADE334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629B8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F5C8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3DC51B0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49ADB2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2</w:t>
            </w:r>
          </w:p>
        </w:tc>
        <w:tc>
          <w:tcPr>
            <w:tcW w:w="7746" w:type="dxa"/>
            <w:gridSpan w:val="3"/>
            <w:tcBorders>
              <w:top w:val="single" w:sz="4" w:space="0" w:color="auto"/>
              <w:bottom w:val="single" w:sz="4" w:space="0" w:color="auto"/>
            </w:tcBorders>
            <w:shd w:val="clear" w:color="auto" w:fill="auto"/>
            <w:vAlign w:val="center"/>
          </w:tcPr>
          <w:p w14:paraId="43D59E1D"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751F948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92D32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BAF7E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7B706BF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DA9D72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3</w:t>
            </w:r>
          </w:p>
        </w:tc>
        <w:tc>
          <w:tcPr>
            <w:tcW w:w="7746" w:type="dxa"/>
            <w:gridSpan w:val="3"/>
            <w:tcBorders>
              <w:top w:val="single" w:sz="4" w:space="0" w:color="auto"/>
              <w:bottom w:val="single" w:sz="4" w:space="0" w:color="auto"/>
            </w:tcBorders>
            <w:shd w:val="clear" w:color="auto" w:fill="auto"/>
            <w:vAlign w:val="center"/>
          </w:tcPr>
          <w:p w14:paraId="07AF81D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توزيع الموارد المتاحة وطلب موارد إضافية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7315791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D41D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6D916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21E6448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2EAE8A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4</w:t>
            </w:r>
          </w:p>
        </w:tc>
        <w:tc>
          <w:tcPr>
            <w:tcW w:w="7746" w:type="dxa"/>
            <w:gridSpan w:val="3"/>
            <w:tcBorders>
              <w:top w:val="single" w:sz="4" w:space="0" w:color="auto"/>
              <w:bottom w:val="single" w:sz="4" w:space="0" w:color="auto"/>
            </w:tcBorders>
            <w:shd w:val="clear" w:color="auto" w:fill="auto"/>
            <w:vAlign w:val="center"/>
          </w:tcPr>
          <w:p w14:paraId="28EB32BE"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هيكل تنظيمي خاص لإدارة الحادث</w:t>
            </w:r>
          </w:p>
        </w:tc>
        <w:tc>
          <w:tcPr>
            <w:tcW w:w="508" w:type="dxa"/>
            <w:tcBorders>
              <w:top w:val="single" w:sz="4" w:space="0" w:color="auto"/>
              <w:bottom w:val="single" w:sz="4" w:space="0" w:color="auto"/>
            </w:tcBorders>
            <w:shd w:val="clear" w:color="auto" w:fill="C6D9F1" w:themeFill="text2" w:themeFillTint="33"/>
            <w:vAlign w:val="center"/>
          </w:tcPr>
          <w:p w14:paraId="62067D1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F99B9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1FD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0941C9E3"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9DFB03C"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5</w:t>
            </w:r>
          </w:p>
        </w:tc>
        <w:tc>
          <w:tcPr>
            <w:tcW w:w="7746" w:type="dxa"/>
            <w:gridSpan w:val="3"/>
            <w:tcBorders>
              <w:top w:val="single" w:sz="4" w:space="0" w:color="auto"/>
              <w:bottom w:val="single" w:sz="4" w:space="0" w:color="auto"/>
            </w:tcBorders>
            <w:shd w:val="clear" w:color="auto" w:fill="auto"/>
            <w:vAlign w:val="center"/>
          </w:tcPr>
          <w:p w14:paraId="3578A253"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مراجعة الاستراتيجيات والأساليب، وتقييمها وتعديلها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6FF80A4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AFA54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6574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2875DAB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EABD6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6</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7709171"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على الشخص المسؤول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74886AB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7330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22CF4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46ACEF1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C5459C0"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B03E839"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يجب أن يتضمن النظام عملية تصعيد روتينية في حال استخدام موارد إضافية</w:t>
            </w:r>
          </w:p>
        </w:tc>
        <w:tc>
          <w:tcPr>
            <w:tcW w:w="508" w:type="dxa"/>
            <w:tcBorders>
              <w:top w:val="single" w:sz="4" w:space="0" w:color="auto"/>
              <w:bottom w:val="single" w:sz="4" w:space="0" w:color="auto"/>
            </w:tcBorders>
            <w:shd w:val="clear" w:color="auto" w:fill="C6D9F1" w:themeFill="text2" w:themeFillTint="33"/>
            <w:vAlign w:val="center"/>
          </w:tcPr>
          <w:p w14:paraId="3FF0CB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C9D27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9C491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58FD93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35D293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803C181"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تحديد مستويات وعناصر نظام إدارة الحادث التي سيتم اعتمادها في كل حالة، كما يتولى مسؤولية إعداد هيكل قيادة لكل حادث من خلال إسناد المسؤوليات الإشرافية وفقًا لإجراءات التشغيل الموحدة (</w:t>
            </w:r>
            <w:r w:rsidRPr="00CA0A97">
              <w:rPr>
                <w:rFonts w:cs="Arial"/>
                <w:sz w:val="18"/>
                <w:szCs w:val="18"/>
                <w:lang w:eastAsia="ar" w:bidi="en-US"/>
              </w:rPr>
              <w:t>SOP</w:t>
            </w:r>
            <w:r w:rsidRPr="00CA0A97">
              <w:rPr>
                <w:rFonts w:cs="Arial"/>
                <w:sz w:val="18"/>
                <w:szCs w:val="18"/>
                <w:rtl/>
                <w:lang w:eastAsia="ar"/>
              </w:rPr>
              <w:t>)</w:t>
            </w:r>
          </w:p>
        </w:tc>
        <w:tc>
          <w:tcPr>
            <w:tcW w:w="508" w:type="dxa"/>
            <w:tcBorders>
              <w:top w:val="single" w:sz="4" w:space="0" w:color="auto"/>
              <w:bottom w:val="single" w:sz="4" w:space="0" w:color="auto"/>
            </w:tcBorders>
            <w:shd w:val="clear" w:color="auto" w:fill="C6D9F1" w:themeFill="text2" w:themeFillTint="33"/>
            <w:vAlign w:val="center"/>
          </w:tcPr>
          <w:p w14:paraId="2323627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85E2C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E589FF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6A5265F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31A48D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7268AE33"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يحدد نظام إدارة الحوادث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34EFDBC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0CF47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05030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18128EA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61F35B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10</w:t>
            </w:r>
          </w:p>
        </w:tc>
        <w:tc>
          <w:tcPr>
            <w:tcW w:w="7746" w:type="dxa"/>
            <w:gridSpan w:val="3"/>
            <w:tcBorders>
              <w:top w:val="single" w:sz="4" w:space="0" w:color="auto"/>
              <w:bottom w:val="single" w:sz="4" w:space="0" w:color="auto"/>
            </w:tcBorders>
            <w:shd w:val="clear" w:color="auto" w:fill="auto"/>
            <w:vAlign w:val="center"/>
          </w:tcPr>
          <w:p w14:paraId="265D4830"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التحكم في الاتصالات المتعلقة بالأساليب، والقيادة وقنوات المرور الطارئة المخصصة للحادث</w:t>
            </w:r>
          </w:p>
        </w:tc>
        <w:tc>
          <w:tcPr>
            <w:tcW w:w="508" w:type="dxa"/>
            <w:tcBorders>
              <w:top w:val="single" w:sz="4" w:space="0" w:color="auto"/>
              <w:bottom w:val="single" w:sz="4" w:space="0" w:color="auto"/>
            </w:tcBorders>
            <w:shd w:val="clear" w:color="auto" w:fill="C6D9F1" w:themeFill="text2" w:themeFillTint="33"/>
            <w:vAlign w:val="center"/>
          </w:tcPr>
          <w:p w14:paraId="63A719A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FE8B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DEC40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2DDE5B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AF70478"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11</w:t>
            </w:r>
          </w:p>
        </w:tc>
        <w:tc>
          <w:tcPr>
            <w:tcW w:w="7746" w:type="dxa"/>
            <w:gridSpan w:val="3"/>
            <w:tcBorders>
              <w:top w:val="single" w:sz="4" w:space="0" w:color="auto"/>
              <w:bottom w:val="single" w:sz="4" w:space="0" w:color="auto"/>
            </w:tcBorders>
            <w:shd w:val="clear" w:color="auto" w:fill="auto"/>
            <w:vAlign w:val="center"/>
          </w:tcPr>
          <w:p w14:paraId="11732FB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المساءلة الشاملة للاستجابة لوقوع الحادث</w:t>
            </w:r>
          </w:p>
        </w:tc>
        <w:tc>
          <w:tcPr>
            <w:tcW w:w="508" w:type="dxa"/>
            <w:tcBorders>
              <w:top w:val="single" w:sz="4" w:space="0" w:color="auto"/>
              <w:bottom w:val="single" w:sz="4" w:space="0" w:color="auto"/>
            </w:tcBorders>
            <w:shd w:val="clear" w:color="auto" w:fill="C6D9F1" w:themeFill="text2" w:themeFillTint="33"/>
            <w:vAlign w:val="center"/>
          </w:tcPr>
          <w:p w14:paraId="0AFB05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09478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9ED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60BC8542"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672CFD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12</w:t>
            </w:r>
          </w:p>
        </w:tc>
        <w:tc>
          <w:tcPr>
            <w:tcW w:w="7746" w:type="dxa"/>
            <w:gridSpan w:val="3"/>
            <w:tcBorders>
              <w:top w:val="single" w:sz="4" w:space="0" w:color="auto"/>
              <w:bottom w:val="single" w:sz="4" w:space="0" w:color="auto"/>
            </w:tcBorders>
            <w:shd w:val="clear" w:color="auto" w:fill="auto"/>
            <w:vAlign w:val="center"/>
          </w:tcPr>
          <w:p w14:paraId="3D9CEF1B"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وضع خطة عمل للتعامل مع الحوادث (</w:t>
            </w:r>
            <w:r w:rsidRPr="00C423D5">
              <w:rPr>
                <w:rFonts w:cs="Arial"/>
                <w:sz w:val="18"/>
                <w:szCs w:val="18"/>
                <w:lang w:eastAsia="ar" w:bidi="en-US"/>
              </w:rPr>
              <w:t>IAP</w:t>
            </w:r>
            <w:r w:rsidRPr="00C423D5">
              <w:rPr>
                <w:rFonts w:cs="Arial"/>
                <w:sz w:val="18"/>
                <w:szCs w:val="18"/>
                <w:rtl/>
                <w:lang w:eastAsia="ar"/>
              </w:rPr>
              <w:t>) و/أو الموافقة عليها</w:t>
            </w:r>
          </w:p>
        </w:tc>
        <w:tc>
          <w:tcPr>
            <w:tcW w:w="508" w:type="dxa"/>
            <w:tcBorders>
              <w:top w:val="single" w:sz="4" w:space="0" w:color="auto"/>
              <w:bottom w:val="single" w:sz="4" w:space="0" w:color="auto"/>
            </w:tcBorders>
            <w:shd w:val="clear" w:color="auto" w:fill="C6D9F1" w:themeFill="text2" w:themeFillTint="33"/>
            <w:vAlign w:val="center"/>
          </w:tcPr>
          <w:p w14:paraId="488DC3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A0B69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8920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120166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511513"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13</w:t>
            </w:r>
          </w:p>
        </w:tc>
        <w:tc>
          <w:tcPr>
            <w:tcW w:w="7746" w:type="dxa"/>
            <w:gridSpan w:val="3"/>
            <w:tcBorders>
              <w:top w:val="single" w:sz="4" w:space="0" w:color="auto"/>
              <w:bottom w:val="single" w:sz="4" w:space="0" w:color="auto"/>
            </w:tcBorders>
            <w:shd w:val="clear" w:color="auto" w:fill="auto"/>
            <w:vAlign w:val="center"/>
          </w:tcPr>
          <w:p w14:paraId="30A23ED6"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إبقاء مسؤول السلامة على اطّلاع بالخطط الاستراتيجية والتكتيكية وأي تغيير في الظروف القائمة</w:t>
            </w:r>
          </w:p>
        </w:tc>
        <w:tc>
          <w:tcPr>
            <w:tcW w:w="508" w:type="dxa"/>
            <w:tcBorders>
              <w:top w:val="single" w:sz="4" w:space="0" w:color="auto"/>
              <w:bottom w:val="single" w:sz="4" w:space="0" w:color="auto"/>
            </w:tcBorders>
            <w:shd w:val="clear" w:color="auto" w:fill="C6D9F1" w:themeFill="text2" w:themeFillTint="33"/>
            <w:vAlign w:val="center"/>
          </w:tcPr>
          <w:p w14:paraId="5B5175C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202B8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3E5B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368EFD0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AD4190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14</w:t>
            </w:r>
          </w:p>
        </w:tc>
        <w:tc>
          <w:tcPr>
            <w:tcW w:w="7746" w:type="dxa"/>
            <w:gridSpan w:val="3"/>
            <w:tcBorders>
              <w:top w:val="single" w:sz="4" w:space="0" w:color="auto"/>
              <w:bottom w:val="single" w:sz="4" w:space="0" w:color="auto"/>
            </w:tcBorders>
            <w:shd w:val="clear" w:color="auto" w:fill="auto"/>
            <w:vAlign w:val="center"/>
          </w:tcPr>
          <w:p w14:paraId="15D02AB6"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تقييم المخاطر التي يتعرض لها المستجيبون للحادث فيما يتعلق بالغرض من أفعالهم والنتائج المحتملة لهذه الأفعال في كل حالة</w:t>
            </w:r>
          </w:p>
        </w:tc>
        <w:tc>
          <w:tcPr>
            <w:tcW w:w="508" w:type="dxa"/>
            <w:tcBorders>
              <w:top w:val="single" w:sz="4" w:space="0" w:color="auto"/>
              <w:bottom w:val="single" w:sz="4" w:space="0" w:color="auto"/>
            </w:tcBorders>
            <w:shd w:val="clear" w:color="auto" w:fill="C6D9F1" w:themeFill="text2" w:themeFillTint="33"/>
            <w:vAlign w:val="center"/>
          </w:tcPr>
          <w:p w14:paraId="6E03387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994D5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82FC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926EF4">
              <w:rPr>
                <w:rFonts w:cs="Arial"/>
                <w:color w:val="000000"/>
                <w:rtl/>
                <w:lang w:eastAsia="ar"/>
              </w:rPr>
            </w:r>
            <w:r w:rsidR="00926EF4">
              <w:rPr>
                <w:rFonts w:cs="Arial"/>
                <w:color w:val="000000"/>
                <w:rtl/>
                <w:lang w:eastAsia="ar"/>
              </w:rPr>
              <w:fldChar w:fldCharType="separate"/>
            </w:r>
            <w:r w:rsidRPr="00C423D5">
              <w:rPr>
                <w:rFonts w:cs="Arial"/>
                <w:color w:val="000000"/>
                <w:rtl/>
                <w:lang w:eastAsia="ar"/>
              </w:rPr>
              <w:fldChar w:fldCharType="end"/>
            </w:r>
          </w:p>
        </w:tc>
      </w:tr>
      <w:tr w:rsidR="00047D63" w:rsidRPr="00C423D5" w14:paraId="1959A7B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68EC872"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15</w:t>
            </w:r>
          </w:p>
        </w:tc>
        <w:tc>
          <w:tcPr>
            <w:tcW w:w="7746" w:type="dxa"/>
            <w:gridSpan w:val="3"/>
            <w:tcBorders>
              <w:top w:val="single" w:sz="4" w:space="0" w:color="auto"/>
              <w:bottom w:val="single" w:sz="4" w:space="0" w:color="auto"/>
            </w:tcBorders>
            <w:shd w:val="clear" w:color="auto" w:fill="auto"/>
            <w:vAlign w:val="center"/>
          </w:tcPr>
          <w:p w14:paraId="4EAC86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يجب أن يوفر نظام الاتصالات أسلوبًا موحدًا لمنح الأولوية لإرسال الرسائل الطارئة والإشعارات عن الأخطار الوشيكة وتقديمها على الاتصالات الروتينية وذلك على جميع المستويات في هيكل قيادة الحادث</w:t>
            </w:r>
          </w:p>
        </w:tc>
        <w:tc>
          <w:tcPr>
            <w:tcW w:w="508" w:type="dxa"/>
            <w:tcBorders>
              <w:top w:val="single" w:sz="4" w:space="0" w:color="auto"/>
              <w:bottom w:val="single" w:sz="4" w:space="0" w:color="auto"/>
            </w:tcBorders>
            <w:shd w:val="clear" w:color="auto" w:fill="C6D9F1" w:themeFill="text2" w:themeFillTint="33"/>
            <w:vAlign w:val="center"/>
          </w:tcPr>
          <w:p w14:paraId="4BACA76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9E3A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377A4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676CD1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F84EA3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16</w:t>
            </w:r>
          </w:p>
        </w:tc>
        <w:tc>
          <w:tcPr>
            <w:tcW w:w="7746" w:type="dxa"/>
            <w:gridSpan w:val="3"/>
            <w:tcBorders>
              <w:top w:val="single" w:sz="4" w:space="0" w:color="auto"/>
              <w:bottom w:val="single" w:sz="4" w:space="0" w:color="auto"/>
            </w:tcBorders>
            <w:shd w:val="clear" w:color="auto" w:fill="auto"/>
            <w:vAlign w:val="center"/>
          </w:tcPr>
          <w:p w14:paraId="491ABAD7" w14:textId="6823A57A" w:rsidR="00047D63" w:rsidRPr="00CA0A97" w:rsidRDefault="00047D63" w:rsidP="00F20134">
            <w:pPr>
              <w:bidi/>
              <w:spacing w:before="40" w:after="40"/>
              <w:rPr>
                <w:rFonts w:cs="Arial"/>
                <w:sz w:val="18"/>
                <w:szCs w:val="24"/>
                <w:lang w:val="x-none"/>
              </w:rPr>
            </w:pPr>
            <w:r w:rsidRPr="00CA0A97">
              <w:rPr>
                <w:rFonts w:cs="Arial"/>
                <w:sz w:val="18"/>
                <w:szCs w:val="18"/>
                <w:rtl/>
                <w:lang w:eastAsia="ar"/>
              </w:rPr>
              <w:t xml:space="preserve">خطة عمل التعامل مع الحوادث: يمكن أن تكون خطة عمل التعامل مع الحوادث </w:t>
            </w:r>
            <w:r w:rsidR="00837A97">
              <w:rPr>
                <w:rFonts w:cs="Arial" w:hint="cs"/>
                <w:sz w:val="18"/>
                <w:szCs w:val="18"/>
                <w:rtl/>
                <w:lang w:eastAsia="ar"/>
              </w:rPr>
              <w:t>شفهية</w:t>
            </w:r>
            <w:r w:rsidRPr="00CA0A97">
              <w:rPr>
                <w:rFonts w:cs="Arial"/>
                <w:sz w:val="18"/>
                <w:szCs w:val="18"/>
                <w:rtl/>
                <w:lang w:eastAsia="ar"/>
              </w:rPr>
              <w:t xml:space="preserve"> أو </w:t>
            </w:r>
            <w:r w:rsidR="00837A97">
              <w:rPr>
                <w:rFonts w:cs="Arial" w:hint="cs"/>
                <w:sz w:val="18"/>
                <w:szCs w:val="18"/>
                <w:rtl/>
                <w:lang w:eastAsia="ar"/>
              </w:rPr>
              <w:t xml:space="preserve">بصيغة </w:t>
            </w:r>
            <w:r w:rsidRPr="00CA0A97">
              <w:rPr>
                <w:rFonts w:cs="Arial"/>
                <w:sz w:val="18"/>
                <w:szCs w:val="18"/>
                <w:rtl/>
                <w:lang w:eastAsia="ar"/>
              </w:rPr>
              <w:t>ورقة عمل ت</w:t>
            </w:r>
            <w:r w:rsidR="00837A97">
              <w:rPr>
                <w:rFonts w:cs="Arial" w:hint="cs"/>
                <w:sz w:val="18"/>
                <w:szCs w:val="18"/>
                <w:rtl/>
                <w:lang w:eastAsia="ar"/>
              </w:rPr>
              <w:t>خطيطية</w:t>
            </w:r>
            <w:r w:rsidRPr="00CA0A97">
              <w:rPr>
                <w:rFonts w:cs="Arial"/>
                <w:sz w:val="18"/>
                <w:szCs w:val="18"/>
                <w:rtl/>
                <w:lang w:eastAsia="ar"/>
              </w:rPr>
              <w:t xml:space="preserve"> أو ب</w:t>
            </w:r>
            <w:r w:rsidR="00837A97">
              <w:rPr>
                <w:rFonts w:cs="Arial" w:hint="cs"/>
                <w:sz w:val="18"/>
                <w:szCs w:val="18"/>
                <w:rtl/>
                <w:lang w:eastAsia="ar"/>
              </w:rPr>
              <w:t>صيغة</w:t>
            </w:r>
            <w:r w:rsidRPr="00CA0A97">
              <w:rPr>
                <w:rFonts w:cs="Arial"/>
                <w:sz w:val="18"/>
                <w:szCs w:val="18"/>
                <w:rtl/>
                <w:lang w:eastAsia="ar"/>
              </w:rPr>
              <w:t xml:space="preserve"> كتابي</w:t>
            </w:r>
            <w:r w:rsidR="00837A97">
              <w:rPr>
                <w:rFonts w:cs="Arial" w:hint="cs"/>
                <w:sz w:val="18"/>
                <w:szCs w:val="18"/>
                <w:rtl/>
                <w:lang w:eastAsia="ar"/>
              </w:rPr>
              <w:t>ة</w:t>
            </w:r>
            <w:r w:rsidRPr="00CA0A97">
              <w:rPr>
                <w:rFonts w:cs="Arial"/>
                <w:sz w:val="18"/>
                <w:szCs w:val="18"/>
                <w:rtl/>
                <w:lang w:eastAsia="ar"/>
              </w:rPr>
              <w:t xml:space="preserve"> أو مزيج ممّا ذُكر سابقًا، وهي تُبيّن الاستراتيجية الشاملة للتعامل مع الحادث، والأساليب، وإدارة المخاطر وسلامة الأفراد، وي</w:t>
            </w:r>
            <w:r w:rsidR="00F20134">
              <w:rPr>
                <w:rFonts w:cs="Arial" w:hint="cs"/>
                <w:sz w:val="18"/>
                <w:szCs w:val="18"/>
                <w:rtl/>
                <w:lang w:eastAsia="ar"/>
              </w:rPr>
              <w:t>ُعدها</w:t>
            </w:r>
            <w:r w:rsidRPr="00CA0A97">
              <w:rPr>
                <w:rFonts w:cs="Arial"/>
                <w:sz w:val="18"/>
                <w:szCs w:val="18"/>
                <w:rtl/>
                <w:lang w:eastAsia="ar"/>
              </w:rPr>
              <w:t xml:space="preserve"> قائد إدارة الحوادث</w:t>
            </w:r>
          </w:p>
        </w:tc>
        <w:tc>
          <w:tcPr>
            <w:tcW w:w="508" w:type="dxa"/>
            <w:tcBorders>
              <w:top w:val="single" w:sz="4" w:space="0" w:color="auto"/>
              <w:bottom w:val="single" w:sz="4" w:space="0" w:color="auto"/>
            </w:tcBorders>
            <w:shd w:val="clear" w:color="auto" w:fill="C6D9F1" w:themeFill="text2" w:themeFillTint="33"/>
            <w:vAlign w:val="center"/>
          </w:tcPr>
          <w:p w14:paraId="217EA90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27C3C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8F107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11DACC10" w14:textId="77777777" w:rsidTr="00C14BAD">
        <w:trPr>
          <w:trHeight w:val="350"/>
        </w:trPr>
        <w:tc>
          <w:tcPr>
            <w:tcW w:w="990" w:type="dxa"/>
            <w:tcBorders>
              <w:top w:val="single" w:sz="4" w:space="0" w:color="auto"/>
              <w:left w:val="single" w:sz="4" w:space="0" w:color="auto"/>
              <w:bottom w:val="single" w:sz="4" w:space="0" w:color="auto"/>
            </w:tcBorders>
            <w:shd w:val="clear" w:color="auto" w:fill="auto"/>
            <w:noWrap/>
            <w:vAlign w:val="center"/>
          </w:tcPr>
          <w:p w14:paraId="56A7BA5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17</w:t>
            </w:r>
          </w:p>
        </w:tc>
        <w:tc>
          <w:tcPr>
            <w:tcW w:w="7746" w:type="dxa"/>
            <w:gridSpan w:val="3"/>
            <w:tcBorders>
              <w:top w:val="single" w:sz="4" w:space="0" w:color="auto"/>
              <w:bottom w:val="single" w:sz="4" w:space="0" w:color="auto"/>
            </w:tcBorders>
            <w:shd w:val="clear" w:color="auto" w:fill="auto"/>
            <w:vAlign w:val="center"/>
          </w:tcPr>
          <w:p w14:paraId="7BA539AE" w14:textId="540BF5FD"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مركز إدارة العمليات (</w:t>
            </w:r>
            <w:r w:rsidRPr="00CA0A97">
              <w:rPr>
                <w:rFonts w:cs="Arial"/>
                <w:sz w:val="18"/>
                <w:szCs w:val="18"/>
                <w:lang w:eastAsia="ar" w:bidi="en-US"/>
              </w:rPr>
              <w:t>DOC</w:t>
            </w:r>
            <w:r w:rsidRPr="00CA0A97">
              <w:rPr>
                <w:rFonts w:cs="Arial"/>
                <w:sz w:val="18"/>
                <w:szCs w:val="18"/>
                <w:rtl/>
                <w:lang w:eastAsia="ar"/>
              </w:rPr>
              <w:t>): يمكن لمركز إدارة العمليات</w:t>
            </w:r>
            <w:r w:rsidR="00F20134">
              <w:rPr>
                <w:rFonts w:cs="Arial"/>
                <w:sz w:val="18"/>
                <w:szCs w:val="18"/>
                <w:rtl/>
                <w:lang w:eastAsia="ar"/>
              </w:rPr>
              <w:t xml:space="preserve"> تيسير طلبات المساعدة المتبادلة</w:t>
            </w:r>
            <w:r w:rsidRPr="00CA0A97">
              <w:rPr>
                <w:rFonts w:cs="Arial"/>
                <w:sz w:val="18"/>
                <w:szCs w:val="18"/>
                <w:rtl/>
                <w:lang w:eastAsia="ar"/>
              </w:rPr>
              <w:t xml:space="preserve"> وتقديم المساعدة فيما يتعلق بطلبات التوظيف وغيرها من المسائل الأخرى التي تعنى بها الجهة مثل استدعاء الموظفين وتوظيف الموارد</w:t>
            </w:r>
          </w:p>
        </w:tc>
        <w:tc>
          <w:tcPr>
            <w:tcW w:w="508" w:type="dxa"/>
            <w:tcBorders>
              <w:top w:val="single" w:sz="4" w:space="0" w:color="auto"/>
              <w:bottom w:val="single" w:sz="4" w:space="0" w:color="auto"/>
            </w:tcBorders>
            <w:shd w:val="clear" w:color="auto" w:fill="C6D9F1" w:themeFill="text2" w:themeFillTint="33"/>
            <w:vAlign w:val="center"/>
          </w:tcPr>
          <w:p w14:paraId="0CA2B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153D1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D5F9B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91B59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1D333B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18</w:t>
            </w:r>
          </w:p>
        </w:tc>
        <w:tc>
          <w:tcPr>
            <w:tcW w:w="7746" w:type="dxa"/>
            <w:gridSpan w:val="3"/>
            <w:tcBorders>
              <w:top w:val="single" w:sz="4" w:space="0" w:color="auto"/>
              <w:bottom w:val="single" w:sz="4" w:space="0" w:color="auto"/>
            </w:tcBorders>
            <w:shd w:val="clear" w:color="auto" w:fill="auto"/>
            <w:vAlign w:val="center"/>
          </w:tcPr>
          <w:p w14:paraId="6E73CC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توفير متطلبات الدعم لنظام قيادة الحوادث في الموقع، مثل:</w:t>
            </w:r>
          </w:p>
          <w:p w14:paraId="6B7056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lastRenderedPageBreak/>
              <w:t>(أ) المشورة الفنية (على سبيل المثال: فيما يتعلق بالمواد الخطرة، وطبيعة الحرائق المندلعة والمشورة الطبية)</w:t>
            </w:r>
          </w:p>
          <w:p w14:paraId="4FAA81C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موارد إضافية من مصادر جديدة</w:t>
            </w:r>
          </w:p>
          <w:p w14:paraId="5B41EB7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وحدات الدعم الطارئ (</w:t>
            </w:r>
            <w:r w:rsidRPr="00CA0A97">
              <w:rPr>
                <w:rFonts w:cs="Arial"/>
                <w:sz w:val="18"/>
                <w:szCs w:val="18"/>
                <w:lang w:eastAsia="ar" w:bidi="en-US"/>
              </w:rPr>
              <w:t>ESF</w:t>
            </w:r>
            <w:r w:rsidRPr="00CA0A97">
              <w:rPr>
                <w:rFonts w:cs="Arial"/>
                <w:sz w:val="18"/>
                <w:szCs w:val="18"/>
                <w:rtl/>
                <w:lang w:eastAsia="ar"/>
              </w:rPr>
              <w:t>) اللازمة لدعم الاستجابة للحادث (الحوادث)</w:t>
            </w:r>
          </w:p>
        </w:tc>
        <w:tc>
          <w:tcPr>
            <w:tcW w:w="508" w:type="dxa"/>
            <w:tcBorders>
              <w:top w:val="single" w:sz="4" w:space="0" w:color="auto"/>
              <w:bottom w:val="single" w:sz="4" w:space="0" w:color="auto"/>
            </w:tcBorders>
            <w:shd w:val="clear" w:color="auto" w:fill="C6D9F1" w:themeFill="text2" w:themeFillTint="33"/>
            <w:vAlign w:val="center"/>
          </w:tcPr>
          <w:p w14:paraId="0AF2055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lastRenderedPageBreak/>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C4032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B8834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E2D68C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CEFDDB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lastRenderedPageBreak/>
              <w:t>19</w:t>
            </w:r>
          </w:p>
        </w:tc>
        <w:tc>
          <w:tcPr>
            <w:tcW w:w="7746" w:type="dxa"/>
            <w:gridSpan w:val="3"/>
            <w:tcBorders>
              <w:top w:val="single" w:sz="4" w:space="0" w:color="auto"/>
              <w:bottom w:val="single" w:sz="4" w:space="0" w:color="auto"/>
            </w:tcBorders>
            <w:shd w:val="clear" w:color="auto" w:fill="auto"/>
            <w:vAlign w:val="center"/>
          </w:tcPr>
          <w:p w14:paraId="791A4F8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الوقت المتوقع المطلوب للسيطرة على الوضع حيث يؤثر ذلك على المتطلبات اللوجستية لما يلي:</w:t>
            </w:r>
          </w:p>
          <w:p w14:paraId="016922BF" w14:textId="6742E254" w:rsidR="00047D63" w:rsidRPr="00CA0A97" w:rsidRDefault="00047D63" w:rsidP="00C14BAD">
            <w:pPr>
              <w:bidi/>
              <w:spacing w:before="40" w:after="40"/>
              <w:rPr>
                <w:rFonts w:cs="Arial"/>
                <w:sz w:val="18"/>
                <w:szCs w:val="24"/>
                <w:lang w:val="x-none"/>
              </w:rPr>
            </w:pPr>
            <w:r w:rsidRPr="00CA0A97">
              <w:rPr>
                <w:rFonts w:cs="Arial"/>
                <w:sz w:val="18"/>
                <w:szCs w:val="18"/>
                <w:rtl/>
                <w:lang w:eastAsia="ar"/>
              </w:rPr>
              <w:t>(أ) موظفي الإغاثة</w:t>
            </w:r>
          </w:p>
          <w:p w14:paraId="396697E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الغذاء</w:t>
            </w:r>
          </w:p>
          <w:p w14:paraId="2FDD902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المساكن</w:t>
            </w:r>
          </w:p>
          <w:p w14:paraId="61F0A978"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(د) الوقود والإصلاحات</w:t>
            </w:r>
          </w:p>
          <w:p w14:paraId="68A2575A"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(هـ) التدخل الواسع للجهات المتعددة</w:t>
            </w:r>
          </w:p>
        </w:tc>
        <w:tc>
          <w:tcPr>
            <w:tcW w:w="508" w:type="dxa"/>
            <w:tcBorders>
              <w:top w:val="single" w:sz="4" w:space="0" w:color="auto"/>
              <w:bottom w:val="single" w:sz="4" w:space="0" w:color="auto"/>
            </w:tcBorders>
            <w:shd w:val="clear" w:color="auto" w:fill="C6D9F1" w:themeFill="text2" w:themeFillTint="33"/>
            <w:vAlign w:val="center"/>
          </w:tcPr>
          <w:p w14:paraId="36FE141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550AD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D0608"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35F16A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F1873B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20</w:t>
            </w:r>
          </w:p>
        </w:tc>
        <w:tc>
          <w:tcPr>
            <w:tcW w:w="7746" w:type="dxa"/>
            <w:gridSpan w:val="3"/>
            <w:tcBorders>
              <w:top w:val="single" w:sz="4" w:space="0" w:color="auto"/>
              <w:bottom w:val="single" w:sz="4" w:space="0" w:color="auto"/>
            </w:tcBorders>
            <w:shd w:val="clear" w:color="auto" w:fill="auto"/>
            <w:vAlign w:val="center"/>
          </w:tcPr>
          <w:p w14:paraId="181C889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الإلمام الشامل بقدرات الجهة أو السلطة المعنية وحدودها. السلطة لاتخاذ القرارات للجهة أو السلطة المعنية، بما في ذلك الأمر بتوزيع الموارد</w:t>
            </w:r>
          </w:p>
        </w:tc>
        <w:tc>
          <w:tcPr>
            <w:tcW w:w="508" w:type="dxa"/>
            <w:tcBorders>
              <w:top w:val="single" w:sz="4" w:space="0" w:color="auto"/>
              <w:bottom w:val="single" w:sz="4" w:space="0" w:color="auto"/>
            </w:tcBorders>
            <w:shd w:val="clear" w:color="auto" w:fill="C6D9F1" w:themeFill="text2" w:themeFillTint="33"/>
            <w:vAlign w:val="center"/>
          </w:tcPr>
          <w:p w14:paraId="19B05FB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E54FA6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D16EBC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AB2F07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1F46F0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21</w:t>
            </w:r>
          </w:p>
        </w:tc>
        <w:tc>
          <w:tcPr>
            <w:tcW w:w="7746" w:type="dxa"/>
            <w:gridSpan w:val="3"/>
            <w:tcBorders>
              <w:top w:val="single" w:sz="4" w:space="0" w:color="auto"/>
              <w:bottom w:val="single" w:sz="4" w:space="0" w:color="auto"/>
            </w:tcBorders>
            <w:shd w:val="clear" w:color="auto" w:fill="auto"/>
            <w:vAlign w:val="center"/>
          </w:tcPr>
          <w:p w14:paraId="7953B35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تتولى قيادة المنطقة تحديد الأولويات الخاصة بالحوادث وتخصيص الموارد الأساسية وفقًا للأولويات التي حدّدها مسؤول الجهة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1B13BDA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EF67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234FA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AB100B"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FCD4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22</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445DD"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كبار موظفي الإدارات المتأثرة بالتوقف عن استخدام 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A68F3F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6546C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58B1D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D138B4F"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63C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23</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67340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التواصل مع هيئة المياه المحلية، حيث قد يكون سبب التلوث هو إمدادات المياه الواردة الأساسية، وبالتالي قد تكون هناك احتمالية للالتزام بعدم تلويث شبكة المياه العامة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4340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1A50B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975E9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BCE9DD3"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43D19"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24</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38DB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أخذ عينات عند الضرورة لتحديد طبيعة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E45A06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28ADF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A7EA2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6C1E913D"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9A8AE"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25</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18ECF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عزل المنطقة المتأثرة عن الإمداد الرئيسي لمنع ازدياد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34753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55E10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A716B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796CDA8"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6C49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26</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2048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بناءً على طبيعة التلوث، قد يصبح سببه واضحًا أو يسهل تحديد موقعه. وإن لم يكن ذلك ممكنًا، يجب القيام بتحقيق منهجي حول أنظمة الإمداد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B94266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301B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B55BFD"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106927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F5C6A3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763A51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في حال تحديد أسباب التلوث، يجب عزل مصدر التلوث وتنفيذ الإجراءات اللازمة لمعالجة الوضع</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4C00B9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8868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184B1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A45DEE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42EC86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1CA44E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الطاقم الطبي بطبيعة التلوث وانتظار تلقي المشورة حول التأثير السريري قبل استعادة إمداد المنطقة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7C2EC1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E8572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64EF8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27BE3AEF"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584AA4B"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D85D471"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تنظيف جميع أنظمة الأنابيب (الصنابير، مياه تنظيف المراحيض، أحواض المرحاض..إلخ) بالمياه جيدًا إلى أن يُظهر التحليل القادم عدم وجود أثر للتلوث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233BAA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8D97E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A3C7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C6328C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7E7A1E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30</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1C3B659A"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عندما تتم استعادة جودة المياه ويتم تأكيد ذلك من الطاقم الطبي أو الميكروبيولوجي، يمكن عندها السماح باستئناف الاستخدام الاعتيادي</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DB58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CAE28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6164C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4676FA9"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3209DB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31</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254EF7CE"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مراجعة الإجراءات التشغيلية للحادث وتعديلها في حال الضرورة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18565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5943DF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19EB5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EDF924C"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F33593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32</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FF1B2D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تسجيل الملاحظات المتعلقة بتاريخ وقوع الحادث ووقته،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6706F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82632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21D47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0954AA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1FC3DA1"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33</w:t>
            </w:r>
          </w:p>
        </w:tc>
        <w:tc>
          <w:tcPr>
            <w:tcW w:w="7746" w:type="dxa"/>
            <w:gridSpan w:val="3"/>
            <w:tcBorders>
              <w:top w:val="single" w:sz="4" w:space="0" w:color="auto"/>
              <w:bottom w:val="single" w:sz="4" w:space="0" w:color="auto"/>
            </w:tcBorders>
            <w:shd w:val="clear" w:color="auto" w:fill="auto"/>
            <w:vAlign w:val="center"/>
          </w:tcPr>
          <w:p w14:paraId="74D54963" w14:textId="77777777" w:rsidR="00047D63" w:rsidRPr="00930265" w:rsidRDefault="00047D63" w:rsidP="00C14BAD">
            <w:pPr>
              <w:pStyle w:val="ListParagraph"/>
              <w:numPr>
                <w:ilvl w:val="0"/>
                <w:numId w:val="12"/>
              </w:numPr>
              <w:bidi/>
              <w:spacing w:before="40" w:after="40"/>
              <w:rPr>
                <w:rFonts w:cs="Arial"/>
                <w:sz w:val="18"/>
                <w:szCs w:val="24"/>
              </w:rPr>
            </w:pPr>
            <w:r w:rsidRPr="00930265">
              <w:rPr>
                <w:rFonts w:cs="Arial"/>
                <w:sz w:val="18"/>
                <w:szCs w:val="18"/>
                <w:rtl/>
                <w:lang w:eastAsia="ar"/>
              </w:rPr>
              <w:t>عرض خطط إخلاء طوابق المبنى بشكل واضح في جميع الطوابق</w:t>
            </w:r>
          </w:p>
          <w:p w14:paraId="356D5D91"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مخطط شامل للموقع، بما في ذلك تفاصيل الوصول إلى النقطة الشمالية وأرقام الطوارئ</w:t>
            </w:r>
          </w:p>
          <w:p w14:paraId="3FAB4E3B"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النسخة الحالية من البيان السنوي حول السلامة من الحرائق</w:t>
            </w:r>
          </w:p>
          <w:p w14:paraId="29E4FD0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إمكانية الاطّلاع بسهولة على سجلات الصيانة الخاصة بالتدابير الأساسية للسلامة من الحرائق</w:t>
            </w:r>
          </w:p>
          <w:p w14:paraId="50CB0BD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مراعاة الحاجة إلى مرفق تدريبي للاستجابة الأولية للحرائق للتمرن على إجراءات عملية الإخلاء</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89145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30243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E9274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926EF4">
              <w:rPr>
                <w:rFonts w:cs="Arial"/>
                <w:color w:val="000000"/>
                <w:sz w:val="16"/>
                <w:szCs w:val="16"/>
                <w:rtl/>
                <w:lang w:eastAsia="ar"/>
              </w:rPr>
            </w:r>
            <w:r w:rsidR="00926EF4">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92604B9" w14:textId="77777777" w:rsidTr="00C14BAD">
        <w:trPr>
          <w:trHeight w:val="105"/>
        </w:trPr>
        <w:tc>
          <w:tcPr>
            <w:tcW w:w="990" w:type="dxa"/>
            <w:tcBorders>
              <w:top w:val="single" w:sz="4" w:space="0" w:color="auto"/>
              <w:left w:val="single" w:sz="4" w:space="0" w:color="auto"/>
              <w:bottom w:val="single" w:sz="4" w:space="0" w:color="auto"/>
            </w:tcBorders>
            <w:shd w:val="clear" w:color="auto" w:fill="264B5A"/>
            <w:noWrap/>
            <w:vAlign w:val="center"/>
          </w:tcPr>
          <w:p w14:paraId="0A5CC8ED"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الرقم</w:t>
            </w:r>
          </w:p>
        </w:tc>
        <w:tc>
          <w:tcPr>
            <w:tcW w:w="4072" w:type="dxa"/>
            <w:tcBorders>
              <w:top w:val="single" w:sz="4" w:space="0" w:color="auto"/>
              <w:bottom w:val="single" w:sz="4" w:space="0" w:color="auto"/>
            </w:tcBorders>
            <w:shd w:val="clear" w:color="auto" w:fill="264B5A"/>
            <w:vAlign w:val="center"/>
          </w:tcPr>
          <w:p w14:paraId="2494D5AF"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CD66D24"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القرار</w:t>
            </w:r>
          </w:p>
        </w:tc>
      </w:tr>
      <w:tr w:rsidR="00047D63" w:rsidRPr="00C423D5" w14:paraId="0BFC897E"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529016C8"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CC6CDDF"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1D4CE55" w14:textId="77777777" w:rsidR="00047D63" w:rsidRPr="00595047" w:rsidRDefault="00047D63" w:rsidP="00C14BAD">
            <w:pPr>
              <w:bidi/>
              <w:spacing w:before="40" w:after="40"/>
              <w:jc w:val="left"/>
              <w:rPr>
                <w:rFonts w:cs="Arial"/>
              </w:rPr>
            </w:pPr>
          </w:p>
        </w:tc>
      </w:tr>
      <w:tr w:rsidR="00047D63" w:rsidRPr="00C423D5" w14:paraId="20BC368F"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72336EE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3A33773B"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371D318" w14:textId="77777777" w:rsidR="00047D63" w:rsidRPr="00595047" w:rsidRDefault="00047D63" w:rsidP="00C14BAD">
            <w:pPr>
              <w:bidi/>
              <w:spacing w:before="40" w:after="40"/>
              <w:jc w:val="left"/>
              <w:rPr>
                <w:rFonts w:cs="Arial"/>
              </w:rPr>
            </w:pPr>
          </w:p>
        </w:tc>
      </w:tr>
      <w:tr w:rsidR="00047D63" w:rsidRPr="00C423D5" w14:paraId="6EB34951"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85C292"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98644D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0BB1DD" w14:textId="77777777" w:rsidR="00047D63" w:rsidRPr="00595047" w:rsidRDefault="00047D63" w:rsidP="00C14BAD">
            <w:pPr>
              <w:bidi/>
              <w:spacing w:before="40" w:after="40"/>
              <w:jc w:val="left"/>
              <w:rPr>
                <w:rFonts w:cs="Arial"/>
              </w:rPr>
            </w:pPr>
          </w:p>
        </w:tc>
      </w:tr>
      <w:tr w:rsidR="00047D63" w:rsidRPr="00C423D5" w14:paraId="253E6E37"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10A70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6CE59D0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FC5E066" w14:textId="77777777" w:rsidR="00047D63" w:rsidRPr="00595047" w:rsidRDefault="00047D63" w:rsidP="00C14BAD">
            <w:pPr>
              <w:bidi/>
              <w:spacing w:before="40" w:after="40"/>
              <w:jc w:val="left"/>
              <w:rPr>
                <w:rFonts w:cs="Arial"/>
              </w:rPr>
            </w:pPr>
          </w:p>
        </w:tc>
      </w:tr>
      <w:tr w:rsidR="00047D63" w:rsidRPr="00C423D5" w14:paraId="77213A1B" w14:textId="77777777" w:rsidTr="00C14BAD">
        <w:trPr>
          <w:trHeight w:val="10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17008E" w14:textId="77777777" w:rsidR="00047D63" w:rsidRPr="00595047" w:rsidRDefault="00047D63" w:rsidP="00C14BAD">
            <w:pPr>
              <w:bidi/>
              <w:spacing w:before="40" w:after="40"/>
              <w:jc w:val="left"/>
              <w:rPr>
                <w:rFonts w:cs="Arial"/>
              </w:rPr>
            </w:pPr>
            <w:r w:rsidRPr="00595047">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7D39D9" w14:textId="77777777" w:rsidR="00047D63" w:rsidRPr="00595047" w:rsidRDefault="00047D63" w:rsidP="00C14BAD">
            <w:pPr>
              <w:bidi/>
              <w:spacing w:before="40" w:after="40"/>
              <w:jc w:val="left"/>
              <w:rPr>
                <w:rFonts w:cs="Arial"/>
              </w:rPr>
            </w:pPr>
            <w:r w:rsidRPr="00595047">
              <w:rPr>
                <w:rFonts w:cs="Arial"/>
                <w:rtl/>
                <w:lang w:eastAsia="ar"/>
              </w:rPr>
              <w:t>اسم المراجع / التوقيع والتاريخ:</w:t>
            </w:r>
          </w:p>
        </w:tc>
      </w:tr>
      <w:tr w:rsidR="00047D63" w:rsidRPr="00C423D5" w14:paraId="63E495D9" w14:textId="77777777" w:rsidTr="00C14BAD">
        <w:trPr>
          <w:trHeight w:val="479"/>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BF1CD0" w14:textId="77777777" w:rsidR="00047D63" w:rsidRPr="00595047" w:rsidRDefault="00047D63" w:rsidP="00C14BA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C12CE8" w14:textId="77777777" w:rsidR="00047D63" w:rsidRPr="00595047" w:rsidRDefault="00047D63" w:rsidP="00C14BAD">
            <w:pPr>
              <w:bidi/>
              <w:spacing w:before="40" w:after="40"/>
              <w:jc w:val="left"/>
              <w:rPr>
                <w:rFonts w:cs="Arial"/>
              </w:rPr>
            </w:pPr>
          </w:p>
        </w:tc>
      </w:tr>
    </w:tbl>
    <w:p w14:paraId="5355904E" w14:textId="77777777" w:rsidR="00047D63" w:rsidRDefault="00047D63" w:rsidP="00047D63">
      <w:pPr>
        <w:bidi/>
      </w:pPr>
    </w:p>
    <w:p w14:paraId="40FA6124" w14:textId="77777777" w:rsidR="003C6B98" w:rsidRPr="003C2584" w:rsidRDefault="003C6B98" w:rsidP="003C2584">
      <w:pPr>
        <w:bidi/>
      </w:pPr>
    </w:p>
    <w:sectPr w:rsidR="003C6B98" w:rsidRPr="003C2584"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8A3C0" w14:textId="77777777" w:rsidR="00926EF4" w:rsidRDefault="00926EF4">
      <w:r>
        <w:separator/>
      </w:r>
    </w:p>
    <w:p w14:paraId="5FCEB3D2" w14:textId="77777777" w:rsidR="00926EF4" w:rsidRDefault="00926EF4"/>
  </w:endnote>
  <w:endnote w:type="continuationSeparator" w:id="0">
    <w:p w14:paraId="71B19729" w14:textId="77777777" w:rsidR="00926EF4" w:rsidRDefault="00926EF4">
      <w:r>
        <w:continuationSeparator/>
      </w:r>
    </w:p>
    <w:p w14:paraId="45010677" w14:textId="77777777" w:rsidR="00926EF4" w:rsidRDefault="0092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D9BB5" w14:textId="77777777" w:rsidR="00434668" w:rsidRDefault="004346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19537E77" w14:textId="59AD34DD" w:rsidR="00434668" w:rsidRPr="006C1ABD" w:rsidRDefault="00434668" w:rsidP="0043466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30F3446E" wp14:editId="7F95064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FE8829"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BE90B2BEE12145C5B54D7E686D1400AD"/>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EOM-ZO0-TP-000026-AR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131826373"/>
        <w:placeholder>
          <w:docPart w:val="DFD7CCA38D51486A9D5C60B844BB2D33"/>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3ACCB51D15354057B837EE662FDA87B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3275800" w14:textId="0EE5AEB5" w:rsidR="00434668" w:rsidRPr="006C1ABD" w:rsidRDefault="00434668" w:rsidP="0043466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2AF775E6" w:rsidR="009210BF" w:rsidRPr="00434668" w:rsidRDefault="00434668" w:rsidP="00434668">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DB37" w14:textId="77777777" w:rsidR="00434668" w:rsidRDefault="004346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BC613" w14:textId="77777777" w:rsidR="00926EF4" w:rsidRDefault="00926EF4">
      <w:r>
        <w:separator/>
      </w:r>
    </w:p>
    <w:p w14:paraId="268AACE2" w14:textId="77777777" w:rsidR="00926EF4" w:rsidRDefault="00926EF4"/>
  </w:footnote>
  <w:footnote w:type="continuationSeparator" w:id="0">
    <w:p w14:paraId="5DAA0A57" w14:textId="77777777" w:rsidR="00926EF4" w:rsidRDefault="00926EF4">
      <w:r>
        <w:continuationSeparator/>
      </w:r>
    </w:p>
    <w:p w14:paraId="5F5B9028" w14:textId="77777777" w:rsidR="00926EF4" w:rsidRDefault="00926EF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86DEB" w14:textId="77777777" w:rsidR="00434668" w:rsidRDefault="004346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340715" w14:paraId="55B15A60" w14:textId="77777777" w:rsidTr="00340715">
      <w:tc>
        <w:tcPr>
          <w:tcW w:w="6845" w:type="dxa"/>
          <w:vAlign w:val="center"/>
        </w:tcPr>
        <w:p w14:paraId="361EC67C" w14:textId="6B0AE188" w:rsidR="00340715" w:rsidRPr="006A25F8" w:rsidRDefault="00340715" w:rsidP="00434668">
          <w:pPr>
            <w:pStyle w:val="CPDocTitle"/>
            <w:bidi/>
            <w:ind w:left="344"/>
            <w:rPr>
              <w:kern w:val="32"/>
              <w:sz w:val="24"/>
              <w:szCs w:val="24"/>
              <w:lang w:val="en-GB"/>
            </w:rPr>
          </w:pPr>
          <w:r w:rsidRPr="00793D69">
            <w:rPr>
              <w:kern w:val="32"/>
              <w:sz w:val="22"/>
              <w:szCs w:val="22"/>
              <w:rtl/>
              <w:lang w:eastAsia="ar"/>
            </w:rPr>
            <w:t>قائمة تدقيق إجراءات الاستجابة ل</w:t>
          </w:r>
          <w:r w:rsidR="00656071" w:rsidRPr="00793D69">
            <w:rPr>
              <w:rFonts w:hint="cs"/>
              <w:kern w:val="32"/>
              <w:sz w:val="22"/>
              <w:szCs w:val="22"/>
              <w:rtl/>
              <w:lang w:eastAsia="ar"/>
            </w:rPr>
            <w:t>حالات ا</w:t>
          </w:r>
          <w:r w:rsidRPr="00793D69">
            <w:rPr>
              <w:kern w:val="32"/>
              <w:sz w:val="22"/>
              <w:szCs w:val="22"/>
              <w:rtl/>
              <w:lang w:eastAsia="ar"/>
            </w:rPr>
            <w:t>لطوارئ</w:t>
          </w:r>
          <w:r w:rsidR="00656071" w:rsidRPr="00793D69">
            <w:rPr>
              <w:rFonts w:hint="cs"/>
              <w:kern w:val="32"/>
              <w:sz w:val="22"/>
              <w:szCs w:val="22"/>
              <w:rtl/>
              <w:lang w:eastAsia="ar"/>
            </w:rPr>
            <w:t xml:space="preserve"> ل</w:t>
          </w:r>
          <w:r w:rsidRPr="00793D69">
            <w:rPr>
              <w:kern w:val="32"/>
              <w:sz w:val="22"/>
              <w:szCs w:val="22"/>
              <w:rtl/>
              <w:lang w:eastAsia="ar"/>
            </w:rPr>
            <w:t>لأنظمة الميكانيكية</w:t>
          </w:r>
          <w:r w:rsidR="00656071" w:rsidRPr="00793D69">
            <w:rPr>
              <w:rFonts w:hint="cs"/>
              <w:kern w:val="32"/>
              <w:sz w:val="22"/>
              <w:szCs w:val="22"/>
              <w:rtl/>
              <w:lang w:eastAsia="ar"/>
            </w:rPr>
            <w:t xml:space="preserve"> في </w:t>
          </w:r>
          <w:r w:rsidR="00793D69" w:rsidRPr="00793D69">
            <w:rPr>
              <w:rFonts w:hint="cs"/>
              <w:kern w:val="32"/>
              <w:sz w:val="22"/>
              <w:szCs w:val="22"/>
              <w:rtl/>
              <w:lang w:eastAsia="ar"/>
            </w:rPr>
            <w:t>الحدائق والمتنزهات</w:t>
          </w:r>
        </w:p>
      </w:tc>
    </w:tr>
  </w:tbl>
  <w:p w14:paraId="0FE4F66F" w14:textId="1B7B1CD0" w:rsidR="009210BF" w:rsidRPr="003A207D" w:rsidRDefault="003A207D" w:rsidP="00AC1B11">
    <w:pPr>
      <w:pStyle w:val="Header"/>
      <w:bidi/>
    </w:pPr>
    <w:r>
      <w:rPr>
        <w:noProof/>
        <w:lang w:eastAsia="en-US"/>
      </w:rPr>
      <w:drawing>
        <wp:anchor distT="0" distB="0" distL="114300" distR="114300" simplePos="0" relativeHeight="251658240" behindDoc="0" locked="0" layoutInCell="1" allowOverlap="1" wp14:anchorId="7E661EAB" wp14:editId="595DC224">
          <wp:simplePos x="0" y="0"/>
          <wp:positionH relativeFrom="page">
            <wp:posOffset>100426</wp:posOffset>
          </wp:positionH>
          <wp:positionV relativeFrom="paragraph">
            <wp:posOffset>-626745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70FF" w14:textId="77777777" w:rsidR="00434668" w:rsidRDefault="004346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5F8"/>
    <w:rsid w:val="00035B90"/>
    <w:rsid w:val="00036804"/>
    <w:rsid w:val="0004027A"/>
    <w:rsid w:val="00041656"/>
    <w:rsid w:val="00042F74"/>
    <w:rsid w:val="00043268"/>
    <w:rsid w:val="00044245"/>
    <w:rsid w:val="000445E7"/>
    <w:rsid w:val="000451B5"/>
    <w:rsid w:val="00045624"/>
    <w:rsid w:val="0004597D"/>
    <w:rsid w:val="000471E1"/>
    <w:rsid w:val="00047D63"/>
    <w:rsid w:val="00050A36"/>
    <w:rsid w:val="0005137D"/>
    <w:rsid w:val="00052750"/>
    <w:rsid w:val="00053662"/>
    <w:rsid w:val="000545A9"/>
    <w:rsid w:val="000548EE"/>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5B35"/>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4A63"/>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0E56"/>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52"/>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8793E"/>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715"/>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07D"/>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21E8"/>
    <w:rsid w:val="003B6C81"/>
    <w:rsid w:val="003B743F"/>
    <w:rsid w:val="003B7EEF"/>
    <w:rsid w:val="003C1EE8"/>
    <w:rsid w:val="003C2584"/>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4668"/>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0A82"/>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ACD"/>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07AC"/>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071"/>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3D69"/>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37A97"/>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0769"/>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8F7185"/>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6EF4"/>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57E2"/>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87DD1"/>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BF6E3D"/>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6F3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37DFD"/>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60B2"/>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4C28"/>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4AE0"/>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077D1"/>
    <w:rsid w:val="00F11B2E"/>
    <w:rsid w:val="00F11B90"/>
    <w:rsid w:val="00F12FFB"/>
    <w:rsid w:val="00F13418"/>
    <w:rsid w:val="00F142AE"/>
    <w:rsid w:val="00F1430C"/>
    <w:rsid w:val="00F14E48"/>
    <w:rsid w:val="00F20134"/>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90B2BEE12145C5B54D7E686D1400AD"/>
        <w:category>
          <w:name w:val="General"/>
          <w:gallery w:val="placeholder"/>
        </w:category>
        <w:types>
          <w:type w:val="bbPlcHdr"/>
        </w:types>
        <w:behaviors>
          <w:behavior w:val="content"/>
        </w:behaviors>
        <w:guid w:val="{22B19E5D-396F-48FF-91C4-01721CDCA23F}"/>
      </w:docPartPr>
      <w:docPartBody>
        <w:p w:rsidR="00000000" w:rsidRDefault="00A90B35" w:rsidP="00A90B35">
          <w:pPr>
            <w:pStyle w:val="BE90B2BEE12145C5B54D7E686D1400AD"/>
          </w:pPr>
          <w:r w:rsidRPr="00D16477">
            <w:rPr>
              <w:rStyle w:val="PlaceholderText"/>
            </w:rPr>
            <w:t>[Subject]</w:t>
          </w:r>
        </w:p>
      </w:docPartBody>
    </w:docPart>
    <w:docPart>
      <w:docPartPr>
        <w:name w:val="DFD7CCA38D51486A9D5C60B844BB2D33"/>
        <w:category>
          <w:name w:val="General"/>
          <w:gallery w:val="placeholder"/>
        </w:category>
        <w:types>
          <w:type w:val="bbPlcHdr"/>
        </w:types>
        <w:behaviors>
          <w:behavior w:val="content"/>
        </w:behaviors>
        <w:guid w:val="{B5BF9454-B30B-42C8-B1A1-99556CB3C10B}"/>
      </w:docPartPr>
      <w:docPartBody>
        <w:p w:rsidR="00000000" w:rsidRDefault="00A90B35" w:rsidP="00A90B35">
          <w:pPr>
            <w:pStyle w:val="DFD7CCA38D51486A9D5C60B844BB2D33"/>
          </w:pPr>
          <w:r w:rsidRPr="00D16477">
            <w:rPr>
              <w:rStyle w:val="PlaceholderText"/>
            </w:rPr>
            <w:t>[Status]</w:t>
          </w:r>
        </w:p>
      </w:docPartBody>
    </w:docPart>
    <w:docPart>
      <w:docPartPr>
        <w:name w:val="3ACCB51D15354057B837EE662FDA87B5"/>
        <w:category>
          <w:name w:val="General"/>
          <w:gallery w:val="placeholder"/>
        </w:category>
        <w:types>
          <w:type w:val="bbPlcHdr"/>
        </w:types>
        <w:behaviors>
          <w:behavior w:val="content"/>
        </w:behaviors>
        <w:guid w:val="{E2B78484-D181-4307-B723-4B709EDD28B7}"/>
      </w:docPartPr>
      <w:docPartBody>
        <w:p w:rsidR="00000000" w:rsidRDefault="00A90B35" w:rsidP="00A90B35">
          <w:pPr>
            <w:pStyle w:val="3ACCB51D15354057B837EE662FDA87B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35"/>
    <w:rsid w:val="00616DB7"/>
    <w:rsid w:val="00A90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90B35"/>
    <w:rPr>
      <w:color w:val="808080"/>
    </w:rPr>
  </w:style>
  <w:style w:type="paragraph" w:customStyle="1" w:styleId="BE90B2BEE12145C5B54D7E686D1400AD">
    <w:name w:val="BE90B2BEE12145C5B54D7E686D1400AD"/>
    <w:rsid w:val="00A90B35"/>
    <w:pPr>
      <w:bidi/>
    </w:pPr>
  </w:style>
  <w:style w:type="paragraph" w:customStyle="1" w:styleId="DFD7CCA38D51486A9D5C60B844BB2D33">
    <w:name w:val="DFD7CCA38D51486A9D5C60B844BB2D33"/>
    <w:rsid w:val="00A90B35"/>
    <w:pPr>
      <w:bidi/>
    </w:pPr>
  </w:style>
  <w:style w:type="paragraph" w:customStyle="1" w:styleId="3ACCB51D15354057B837EE662FDA87B5">
    <w:name w:val="3ACCB51D15354057B837EE662FDA87B5"/>
    <w:rsid w:val="00A90B3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8D9A5221-14A4-42BD-A9CC-285AD9A55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9B6736-F6CD-4E0E-9AFC-0FD40A45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TotalTime>
  <Pages>2</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7896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EOM-ZO0-TP-000026-AR</dc:subject>
  <dc:creator>Rivamonte, Leonnito (RMP)</dc:creator>
  <cp:keywords>ᅟ</cp:keywords>
  <cp:lastModifiedBy>الاء الزهراني Alaa Alzahrani</cp:lastModifiedBy>
  <cp:revision>11</cp:revision>
  <cp:lastPrinted>2017-10-17T10:11:00Z</cp:lastPrinted>
  <dcterms:created xsi:type="dcterms:W3CDTF">2021-06-16T07:05:00Z</dcterms:created>
  <dcterms:modified xsi:type="dcterms:W3CDTF">2022-01-31T08:32:00Z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